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2271" w:rsidRDefault="00C02271" w:rsidP="00B3078D">
      <w:pPr>
        <w:widowControl/>
        <w:tabs>
          <w:tab w:val="center" w:pos="4677"/>
          <w:tab w:val="right" w:pos="9355"/>
        </w:tabs>
        <w:suppressAutoHyphens w:val="0"/>
        <w:rPr>
          <w:rFonts w:asciiTheme="majorHAnsi" w:eastAsia="Times New Roman" w:hAnsiTheme="majorHAnsi"/>
          <w:b/>
          <w:kern w:val="0"/>
          <w:sz w:val="28"/>
          <w:szCs w:val="28"/>
        </w:rPr>
      </w:pPr>
      <w:bookmarkStart w:id="0" w:name="_GoBack"/>
      <w:bookmarkEnd w:id="0"/>
    </w:p>
    <w:p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:rsidR="007E3A9C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:rsidR="007E3A9C" w:rsidRPr="007E3A9C" w:rsidRDefault="007E3A9C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>комплекса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очистных сооружений</w:t>
      </w:r>
      <w:r w:rsidR="007B605F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(КОС)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биологической очистки </w:t>
      </w:r>
    </w:p>
    <w:p w:rsidR="000616D9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>хозяйственно-бытовых сточных вод</w:t>
      </w:r>
    </w:p>
    <w:p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7A48D1" w:rsidRPr="007E3A9C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0616D9" w:rsidRPr="007E3A9C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5F" w:rsidRPr="007E3A9C" w:rsidRDefault="007B605F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0616D9" w:rsidRPr="007E3A9C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1. Технические характеристики КОС: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4040"/>
              <w:gridCol w:w="2522"/>
              <w:gridCol w:w="916"/>
              <w:gridCol w:w="35"/>
              <w:gridCol w:w="1749"/>
            </w:tblGrid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10910" w:rsidRDefault="005754E8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710910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10910" w:rsidRDefault="005754E8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710910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10910" w:rsidRDefault="00710910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Данные З</w:t>
                  </w:r>
                  <w:r w:rsidR="005754E8" w:rsidRPr="00710910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 Расчётное количество сточных вод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реднесуточный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/сут.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сут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Максимальный часовой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час.</w:t>
                  </w:r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max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06843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Сре</w:t>
                  </w:r>
                  <w:r w:rsidR="007F5C8B">
                    <w:rPr>
                      <w:rFonts w:asciiTheme="majorHAnsi" w:hAnsiTheme="majorHAnsi"/>
                      <w:sz w:val="24"/>
                    </w:rPr>
                    <w:t>дне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часовой расход сточных вод, м</w:t>
                  </w:r>
                  <w:r w:rsidR="005754E8"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час.ср.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Параметры для определения расчётного расхода сточных вод</w:t>
                  </w:r>
                  <w:r w:rsidR="00710910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(заполняется при отсутствии данных о расходе хозяйственно</w:t>
                  </w:r>
                  <w:r w:rsidR="00710910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-</w:t>
                  </w:r>
                  <w:r w:rsidR="00710910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бытовых сточных вод)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Количество жителей, чел.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06843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  <w:lang w:val="en-US"/>
                    </w:rPr>
                    <w:t>N</w:t>
                  </w:r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ж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=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Вероятность увеличения числа жителей на перспективу, чел.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06843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  <w:lang w:val="en-US"/>
                    </w:rPr>
                    <w:t>N</w:t>
                  </w:r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ж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=</w:t>
                  </w:r>
                </w:p>
              </w:tc>
            </w:tr>
            <w:tr w:rsidR="00357A47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</w:t>
                  </w:r>
                  <w:r w:rsidR="00710910">
                    <w:rPr>
                      <w:rFonts w:asciiTheme="majorHAnsi" w:hAnsiTheme="majorHAnsi"/>
                      <w:b/>
                      <w:sz w:val="24"/>
                    </w:rPr>
                    <w:t>. Режим поступления сточных вод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10910">
                    <w:rPr>
                      <w:rFonts w:asciiTheme="majorHAnsi" w:hAnsiTheme="majorHAnsi"/>
                      <w:i/>
                      <w:sz w:val="24"/>
                    </w:rPr>
                    <w:t>(нужное отметить)</w:t>
                  </w: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Напорный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Самотечный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Гидрогеологические условия участка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Уровень грунтовых вод,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Место предполагаемого сброса очищенных стоков</w:t>
                  </w:r>
                </w:p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 – почва; - овраг; -водоём (тип: рыб.-хоз., культ.-быт.)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Относится ли территория к подтапливаемым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Наличие инфраструктуры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Количество сточных вод от предприятий, обслуживающих население,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/сут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Количество сточных вод от пред</w:t>
                  </w:r>
                  <w:r w:rsidR="00710910">
                    <w:rPr>
                      <w:rFonts w:asciiTheme="majorHAnsi" w:hAnsiTheme="majorHAnsi"/>
                      <w:sz w:val="24"/>
                    </w:rPr>
                    <w:t xml:space="preserve">приятий общественного питания,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/сут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Показатели сточных вод, подаваемых на очистку и требования к очищенной воде</w:t>
                  </w:r>
                  <w:r w:rsidR="00710910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(показатели на входе заполняются при наличии данных о качестве хозяйственно - бытовых сточных вод, при отсутствии данных будут приняты данные в соответствии с таб. 25 СНиП 2.04.03-85)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показатель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входе, мг/л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выходе, мг/л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звешенные вещества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БПК</w:t>
                  </w:r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полн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аммиака,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нитритов,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lastRenderedPageBreak/>
                    <w:t>6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.5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нитратов,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6.6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Ф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осфаты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6.7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Х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лориды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6.8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СПАВ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6.9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Ж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иры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6.10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pH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Температура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357A47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Другие специфические загрязнения (тяжелые металлы, органика и тп.),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>. Этапность строительства</w:t>
                  </w:r>
                </w:p>
              </w:tc>
            </w:tr>
            <w:tr w:rsidR="005754E8" w:rsidRPr="007E3A9C" w:rsidTr="00C65034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Количество 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этапов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rPr>
                <w:trHeight w:val="90"/>
              </w:trPr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Способ утилизации осадка</w:t>
                  </w:r>
                </w:p>
              </w:tc>
            </w:tr>
            <w:tr w:rsidR="005754E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 иловых и песковых площадках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 емкость - илонакопитель с последующей откачкой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Механическое обезвоживание и обеззараживание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66D19" w:rsidRPr="007E3A9C" w:rsidTr="006F7224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D19" w:rsidRPr="00866D19" w:rsidRDefault="00866D19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9.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Площадь земельного участка, отведенного под строительство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D19" w:rsidRPr="007E3A9C" w:rsidRDefault="00866D19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65034" w:rsidRPr="007E3A9C" w:rsidTr="00710910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034" w:rsidRPr="007E3A9C" w:rsidRDefault="00C65034" w:rsidP="00C65034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10. Ситуационная характеристика места установки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034" w:rsidRPr="007E3A9C" w:rsidRDefault="00C65034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BD247E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7B605F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10</w:t>
                  </w:r>
                  <w:r w:rsidR="00BD247E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BD247E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Расстояние до близлежащих жилых застроек,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BD247E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710910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11. Условия водоснабжения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243ECA" w:rsidRDefault="007E3A9C" w:rsidP="007E3A9C">
                  <w:pPr>
                    <w:jc w:val="center"/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Наличие водозабора, его месторасположение (расстояние до планируемого места установки очистного сооружения), м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Нахождение объекта в охранной зоне питьевого водозабора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12.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Существующие канализационные очистные сооружения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(кратко описать имеющиеся очистные сооружения с указанием степени очистки стока, их техническое состояние</w:t>
                  </w:r>
                  <w:r w:rsidR="00F156B7">
                    <w:rPr>
                      <w:rFonts w:asciiTheme="majorHAnsi" w:hAnsiTheme="majorHAnsi"/>
                      <w:i/>
                      <w:sz w:val="24"/>
                    </w:rPr>
                    <w:t>; сооружения, подлежащие реконструкции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866D19">
              <w:trPr>
                <w:trHeight w:val="116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13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06066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866D19" w:rsidRPr="007E3A9C" w:rsidRDefault="00866D1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7478"/>
              <w:gridCol w:w="1784"/>
            </w:tblGrid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28113C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Стадийность проектирования.</w:t>
                  </w: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383265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и рабочая документация - двухстадийное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от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lastRenderedPageBreak/>
                    <w:t>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 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нормативов допустимых сбросов НДС/ПДС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6E153F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866D19">
              <w:trPr>
                <w:trHeight w:val="1195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6E153F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9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F156B7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Предоставить Техническое задание на проектирование (при наличии)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866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330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50" w:rsidRDefault="005C6450" w:rsidP="007D1265">
      <w:r>
        <w:separator/>
      </w:r>
    </w:p>
  </w:endnote>
  <w:endnote w:type="continuationSeparator" w:id="0">
    <w:p w:rsidR="005C6450" w:rsidRDefault="005C6450" w:rsidP="007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8D" w:rsidRDefault="00B3078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8D" w:rsidRDefault="00B3078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8D" w:rsidRDefault="00B307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50" w:rsidRDefault="005C6450" w:rsidP="007D1265">
      <w:r>
        <w:separator/>
      </w:r>
    </w:p>
  </w:footnote>
  <w:footnote w:type="continuationSeparator" w:id="0">
    <w:p w:rsidR="005C6450" w:rsidRDefault="005C6450" w:rsidP="007D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8D" w:rsidRDefault="00B307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10" w:rsidRDefault="0071091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8D" w:rsidRDefault="00B3078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63"/>
    <w:rsid w:val="00001915"/>
    <w:rsid w:val="00046655"/>
    <w:rsid w:val="00052A0C"/>
    <w:rsid w:val="000616D9"/>
    <w:rsid w:val="0006779B"/>
    <w:rsid w:val="00076FDF"/>
    <w:rsid w:val="00077D8A"/>
    <w:rsid w:val="000B2B90"/>
    <w:rsid w:val="000C7182"/>
    <w:rsid w:val="00181597"/>
    <w:rsid w:val="00211A00"/>
    <w:rsid w:val="0028113C"/>
    <w:rsid w:val="00286238"/>
    <w:rsid w:val="003001D8"/>
    <w:rsid w:val="00315A57"/>
    <w:rsid w:val="00356B47"/>
    <w:rsid w:val="00357A47"/>
    <w:rsid w:val="003751FD"/>
    <w:rsid w:val="00383265"/>
    <w:rsid w:val="003D5FB2"/>
    <w:rsid w:val="00457298"/>
    <w:rsid w:val="005730A0"/>
    <w:rsid w:val="005754E8"/>
    <w:rsid w:val="005C6450"/>
    <w:rsid w:val="00627963"/>
    <w:rsid w:val="006E153F"/>
    <w:rsid w:val="006E2661"/>
    <w:rsid w:val="006F2AF8"/>
    <w:rsid w:val="00706843"/>
    <w:rsid w:val="00710910"/>
    <w:rsid w:val="00794CA2"/>
    <w:rsid w:val="007A48D1"/>
    <w:rsid w:val="007B605F"/>
    <w:rsid w:val="007D1265"/>
    <w:rsid w:val="007E3A9C"/>
    <w:rsid w:val="007E4272"/>
    <w:rsid w:val="007F5C8B"/>
    <w:rsid w:val="0082302C"/>
    <w:rsid w:val="00866D19"/>
    <w:rsid w:val="008803B1"/>
    <w:rsid w:val="00906C57"/>
    <w:rsid w:val="0091136B"/>
    <w:rsid w:val="00942DF7"/>
    <w:rsid w:val="00AA538E"/>
    <w:rsid w:val="00AD7C11"/>
    <w:rsid w:val="00B21C9B"/>
    <w:rsid w:val="00B24D4F"/>
    <w:rsid w:val="00B3078D"/>
    <w:rsid w:val="00BD247E"/>
    <w:rsid w:val="00BE3177"/>
    <w:rsid w:val="00BF1749"/>
    <w:rsid w:val="00C02271"/>
    <w:rsid w:val="00C06066"/>
    <w:rsid w:val="00C23C76"/>
    <w:rsid w:val="00C41C92"/>
    <w:rsid w:val="00C65034"/>
    <w:rsid w:val="00CB1A65"/>
    <w:rsid w:val="00CF520F"/>
    <w:rsid w:val="00D132D8"/>
    <w:rsid w:val="00D21393"/>
    <w:rsid w:val="00E52675"/>
    <w:rsid w:val="00E75D8C"/>
    <w:rsid w:val="00EE58CB"/>
    <w:rsid w:val="00F156B7"/>
    <w:rsid w:val="00F61498"/>
    <w:rsid w:val="00F7778B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E38A"/>
  <w15:docId w15:val="{D3957214-535F-E943-AF8D-35AB6EB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FDF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FDF"/>
  </w:style>
  <w:style w:type="character" w:customStyle="1" w:styleId="WW-Absatz-Standardschriftart">
    <w:name w:val="WW-Absatz-Standardschriftart"/>
    <w:rsid w:val="00076FDF"/>
  </w:style>
  <w:style w:type="character" w:customStyle="1" w:styleId="WW-Absatz-Standardschriftart1">
    <w:name w:val="WW-Absatz-Standardschriftart1"/>
    <w:rsid w:val="00076FDF"/>
  </w:style>
  <w:style w:type="character" w:customStyle="1" w:styleId="WW-Absatz-Standardschriftart11">
    <w:name w:val="WW-Absatz-Standardschriftart11"/>
    <w:rsid w:val="00076FDF"/>
  </w:style>
  <w:style w:type="character" w:customStyle="1" w:styleId="WW-Absatz-Standardschriftart111">
    <w:name w:val="WW-Absatz-Standardschriftart111"/>
    <w:rsid w:val="00076FDF"/>
  </w:style>
  <w:style w:type="character" w:customStyle="1" w:styleId="WW-Absatz-Standardschriftart1111">
    <w:name w:val="WW-Absatz-Standardschriftart1111"/>
    <w:rsid w:val="00076FDF"/>
  </w:style>
  <w:style w:type="character" w:customStyle="1" w:styleId="WW-Absatz-Standardschriftart11111">
    <w:name w:val="WW-Absatz-Standardschriftart11111"/>
    <w:rsid w:val="00076FDF"/>
  </w:style>
  <w:style w:type="character" w:customStyle="1" w:styleId="WW-Absatz-Standardschriftart111111">
    <w:name w:val="WW-Absatz-Standardschriftart111111"/>
    <w:rsid w:val="00076FDF"/>
  </w:style>
  <w:style w:type="character" w:customStyle="1" w:styleId="WW-Absatz-Standardschriftart1111111">
    <w:name w:val="WW-Absatz-Standardschriftart1111111"/>
    <w:rsid w:val="00076FDF"/>
  </w:style>
  <w:style w:type="character" w:customStyle="1" w:styleId="WW-Absatz-Standardschriftart11111111">
    <w:name w:val="WW-Absatz-Standardschriftart11111111"/>
    <w:rsid w:val="00076FDF"/>
  </w:style>
  <w:style w:type="character" w:customStyle="1" w:styleId="a3">
    <w:name w:val="Символ нумерации"/>
    <w:rsid w:val="00076FDF"/>
  </w:style>
  <w:style w:type="character" w:customStyle="1" w:styleId="1">
    <w:name w:val="Основной шрифт абзаца1"/>
    <w:rsid w:val="00076FDF"/>
  </w:style>
  <w:style w:type="character" w:styleId="a4">
    <w:name w:val="Hyperlink"/>
    <w:semiHidden/>
    <w:rsid w:val="00076FDF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076FD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076FDF"/>
    <w:pPr>
      <w:spacing w:after="120"/>
    </w:pPr>
  </w:style>
  <w:style w:type="paragraph" w:styleId="a6">
    <w:name w:val="List"/>
    <w:basedOn w:val="a5"/>
    <w:semiHidden/>
    <w:rsid w:val="00076FDF"/>
    <w:rPr>
      <w:rFonts w:cs="Tahoma"/>
    </w:rPr>
  </w:style>
  <w:style w:type="paragraph" w:customStyle="1" w:styleId="11">
    <w:name w:val="Название1"/>
    <w:basedOn w:val="a"/>
    <w:rsid w:val="00076FD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76FDF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76FDF"/>
    <w:pPr>
      <w:suppressLineNumbers/>
    </w:pPr>
  </w:style>
  <w:style w:type="paragraph" w:customStyle="1" w:styleId="a8">
    <w:name w:val="Заголовок таблицы"/>
    <w:basedOn w:val="a7"/>
    <w:rsid w:val="00076FDF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D1265"/>
    <w:rPr>
      <w:rFonts w:ascii="Arial" w:eastAsia="Arial Unicode MS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1265"/>
    <w:rPr>
      <w:rFonts w:ascii="Arial" w:eastAsia="Arial Unicode MS" w:hAnsi="Arial"/>
      <w:kern w:val="1"/>
      <w:szCs w:val="24"/>
    </w:rPr>
  </w:style>
  <w:style w:type="table" w:styleId="ad">
    <w:name w:val="Table Grid"/>
    <w:basedOn w:val="a1"/>
    <w:uiPriority w:val="59"/>
    <w:rsid w:val="00C06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989E-35CE-504E-9F6B-7C9E7EDD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Microsoft Office User</cp:lastModifiedBy>
  <cp:revision>3</cp:revision>
  <cp:lastPrinted>2016-08-11T11:34:00Z</cp:lastPrinted>
  <dcterms:created xsi:type="dcterms:W3CDTF">2017-06-06T06:38:00Z</dcterms:created>
  <dcterms:modified xsi:type="dcterms:W3CDTF">2019-03-21T22:00:00Z</dcterms:modified>
</cp:coreProperties>
</file>